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14:paraId="00000001">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Arial Black" w:hAnsi="Arial Black"/>
          <w:color w:val="000000"/>
          <w:sz w:val="28"/>
          <w:szCs w:val="28"/>
          <w:u w:val="single"/>
          <w:lang w:val="en-US"/>
        </w:rPr>
      </w:pPr>
      <w:r>
        <w:rPr>
          <w:rFonts w:ascii="Arial Black" w:hAnsi="Arial Black"/>
          <w:b/>
          <w:color w:val="000000"/>
          <w:sz w:val="28"/>
          <w:szCs w:val="28"/>
          <w:u w:val="single"/>
          <w:rtl w:val="off"/>
          <w:lang w:val="en-US"/>
        </w:rPr>
        <w:t>Safeguarding Policy for The Willington Players and Junior Willington Players</w:t>
      </w:r>
    </w:p>
    <w:p w14:paraId="00000002">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p w14:paraId="00000003">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b/>
          <w:color w:val="000000"/>
          <w:sz w:val="22"/>
          <w:szCs w:val="22"/>
          <w:rtl w:val="off"/>
          <w:lang w:val="en-US"/>
        </w:rPr>
        <w:t>1. Introduction</w:t>
      </w:r>
    </w:p>
    <w:p w14:paraId="00000004">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color w:val="000000"/>
          <w:sz w:val="22"/>
          <w:szCs w:val="22"/>
          <w:rtl w:val="off"/>
          <w:lang w:val="en-US"/>
        </w:rPr>
        <w:t>The Willington Players and Junior Willington Players are committed to providing a safe and enjoyable environment for all individuals involved in our activities, particularly children and young people. Our safeguarding policy outlines the procedures, responsibilities, and measures we have in place to protect the well-being of all participants.</w:t>
      </w:r>
    </w:p>
    <w:p w14:paraId="00000005">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b/>
          <w:color w:val="000000"/>
          <w:sz w:val="22"/>
          <w:szCs w:val="22"/>
          <w:rtl w:val="off"/>
          <w:lang w:val="en-US"/>
        </w:rPr>
        <w:t>2. Purpose of the Policy</w:t>
      </w:r>
    </w:p>
    <w:p w14:paraId="00000006">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color w:val="000000"/>
          <w:sz w:val="22"/>
          <w:szCs w:val="22"/>
          <w:rtl w:val="off"/>
          <w:lang w:val="en-US"/>
        </w:rPr>
        <w:t>The purpose of this safeguarding policy is to:</w:t>
      </w:r>
    </w:p>
    <w:p w14:paraId="00000007">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color w:val="000000"/>
          <w:sz w:val="22"/>
          <w:szCs w:val="22"/>
          <w:rtl w:val="off"/>
          <w:lang w:val="en-US"/>
        </w:rPr>
        <w:t xml:space="preserve">Protect children, young people, and vulnerable adults from abuse, neglect, and exploitation. </w:t>
      </w:r>
    </w:p>
    <w:p w14:paraId="00000008">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color w:val="000000"/>
          <w:sz w:val="22"/>
          <w:szCs w:val="22"/>
          <w:rtl w:val="off"/>
          <w:lang w:val="en-US"/>
        </w:rPr>
        <w:t xml:space="preserve">Provide clear guidance for staff, volunteers, and members of The Willington Players regarding their responsibilities for safeguarding. </w:t>
      </w:r>
    </w:p>
    <w:p w14:paraId="00000009">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color w:val="000000"/>
          <w:sz w:val="22"/>
          <w:szCs w:val="22"/>
          <w:rtl w:val="off"/>
          <w:lang w:val="en-US"/>
        </w:rPr>
        <w:t xml:space="preserve">Ensure that all involved in the Junior Willington Players have access to the necessary support and protection. </w:t>
      </w:r>
    </w:p>
    <w:p w14:paraId="0000000A">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b/>
          <w:color w:val="000000"/>
          <w:sz w:val="22"/>
          <w:szCs w:val="22"/>
          <w:rtl w:val="off"/>
          <w:lang w:val="en-US"/>
        </w:rPr>
        <w:t>3. Legal Framework</w:t>
      </w:r>
    </w:p>
    <w:p w14:paraId="0000000B">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color w:val="000000"/>
          <w:sz w:val="22"/>
          <w:szCs w:val="22"/>
          <w:rtl w:val="off"/>
          <w:lang w:val="en-US"/>
        </w:rPr>
        <w:t>This policy is based on the following legislation and guidelines:</w:t>
      </w:r>
    </w:p>
    <w:p w14:paraId="0000000C">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color w:val="000000"/>
          <w:sz w:val="22"/>
          <w:szCs w:val="22"/>
          <w:rtl w:val="off"/>
          <w:lang w:val="en-US"/>
        </w:rPr>
        <w:t xml:space="preserve">Children Act 1989 and 2004 </w:t>
      </w:r>
    </w:p>
    <w:p w14:paraId="0000000D">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color w:val="000000"/>
          <w:sz w:val="22"/>
          <w:szCs w:val="22"/>
          <w:rtl w:val="off"/>
          <w:lang w:val="en-US"/>
        </w:rPr>
        <w:t xml:space="preserve">Working Together to Safeguard Children (2018) </w:t>
      </w:r>
    </w:p>
    <w:p w14:paraId="0000000E">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color w:val="000000"/>
          <w:sz w:val="22"/>
          <w:szCs w:val="22"/>
          <w:rtl w:val="off"/>
          <w:lang w:val="en-US"/>
        </w:rPr>
        <w:t xml:space="preserve">Safeguarding Vulnerable Groups Act 2006 </w:t>
      </w:r>
    </w:p>
    <w:p w14:paraId="0000000F">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color w:val="000000"/>
          <w:sz w:val="22"/>
          <w:szCs w:val="22"/>
          <w:rtl w:val="off"/>
          <w:lang w:val="en-US"/>
        </w:rPr>
        <w:t xml:space="preserve">The Protection of Children Act 1999 </w:t>
      </w:r>
    </w:p>
    <w:p w14:paraId="00000010">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color w:val="000000"/>
          <w:sz w:val="22"/>
          <w:szCs w:val="22"/>
          <w:rtl w:val="off"/>
          <w:lang w:val="en-US"/>
        </w:rPr>
        <w:t xml:space="preserve">The Disclosure and Barring Service (DBS) guidelines </w:t>
      </w:r>
    </w:p>
    <w:p w14:paraId="00000011">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b/>
          <w:color w:val="000000"/>
          <w:sz w:val="22"/>
          <w:szCs w:val="22"/>
          <w:rtl w:val="off"/>
          <w:lang w:val="en-US"/>
        </w:rPr>
        <w:t>4. Key Safeguarding Principles</w:t>
      </w:r>
    </w:p>
    <w:p w14:paraId="00000012">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b/>
          <w:color w:val="000000"/>
          <w:sz w:val="22"/>
          <w:szCs w:val="22"/>
          <w:rtl w:val="off"/>
          <w:lang w:val="en-US"/>
        </w:rPr>
        <w:t>The welfare of the child is paramount.</w:t>
      </w:r>
      <w:r>
        <w:rPr>
          <w:rFonts w:ascii="Arial" w:cs="Arial" w:hAnsi="Arial"/>
          <w:color w:val="000000"/>
          <w:sz w:val="22"/>
          <w:szCs w:val="22"/>
          <w:rtl w:val="off"/>
          <w:lang w:val="en-US"/>
        </w:rPr>
        <w:t xml:space="preserve"> All decisions and actions must prioritise the child’s well-being. </w:t>
      </w:r>
    </w:p>
    <w:p w14:paraId="00000013">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b/>
          <w:color w:val="000000"/>
          <w:sz w:val="22"/>
          <w:szCs w:val="22"/>
          <w:rtl w:val="off"/>
          <w:lang w:val="en-US"/>
        </w:rPr>
        <w:t>Everyone has the right to be safe and protected.</w:t>
      </w:r>
      <w:r>
        <w:rPr>
          <w:rFonts w:ascii="Arial" w:cs="Arial" w:hAnsi="Arial"/>
          <w:color w:val="000000"/>
          <w:sz w:val="22"/>
          <w:szCs w:val="22"/>
          <w:rtl w:val="off"/>
          <w:lang w:val="en-US"/>
        </w:rPr>
        <w:t xml:space="preserve"> We respect the rights of all participants to enjoy our activities in a safe environment. </w:t>
      </w:r>
    </w:p>
    <w:p w14:paraId="00000014">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b/>
          <w:color w:val="000000"/>
          <w:sz w:val="22"/>
          <w:szCs w:val="22"/>
          <w:rtl w:val="off"/>
          <w:lang w:val="en-US"/>
        </w:rPr>
        <w:t>All suspicions and allegations of abuse will be taken seriously.</w:t>
      </w:r>
      <w:r>
        <w:rPr>
          <w:rFonts w:ascii="Arial" w:cs="Arial" w:hAnsi="Arial"/>
          <w:color w:val="000000"/>
          <w:sz w:val="22"/>
          <w:szCs w:val="22"/>
          <w:rtl w:val="off"/>
          <w:lang w:val="en-US"/>
        </w:rPr>
        <w:t xml:space="preserve"> We will respond swiftly and effectively to any concerns. </w:t>
      </w:r>
    </w:p>
    <w:p w14:paraId="00000015">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b/>
          <w:color w:val="000000"/>
          <w:sz w:val="22"/>
          <w:szCs w:val="22"/>
          <w:rtl w:val="off"/>
          <w:lang w:val="en-US"/>
        </w:rPr>
        <w:t>Confidentiality will be maintained.</w:t>
      </w:r>
      <w:r>
        <w:rPr>
          <w:rFonts w:ascii="Arial" w:cs="Arial" w:hAnsi="Arial"/>
          <w:color w:val="000000"/>
          <w:sz w:val="22"/>
          <w:szCs w:val="22"/>
          <w:rtl w:val="off"/>
          <w:lang w:val="en-US"/>
        </w:rPr>
        <w:t xml:space="preserve"> Information will be shared only on a need-to-know basis to ensure the protection of children. </w:t>
      </w:r>
    </w:p>
    <w:p w14:paraId="00000016">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b/>
          <w:color w:val="000000"/>
          <w:sz w:val="22"/>
          <w:szCs w:val="22"/>
          <w:rtl w:val="off"/>
          <w:lang w:val="en-US"/>
        </w:rPr>
        <w:t>5. Safeguarding Roles and Responsibilities</w:t>
      </w:r>
    </w:p>
    <w:p w14:paraId="00000017">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b/>
          <w:color w:val="000000"/>
          <w:sz w:val="22"/>
          <w:szCs w:val="22"/>
          <w:rtl w:val="off"/>
          <w:lang w:val="en-US"/>
        </w:rPr>
        <w:t>Designated Safeguarding Lead (DSL):</w:t>
      </w:r>
      <w:r>
        <w:rPr>
          <w:rFonts w:ascii="Arial" w:cs="Arial" w:hAnsi="Arial"/>
          <w:color w:val="000000"/>
          <w:sz w:val="22"/>
          <w:szCs w:val="22"/>
          <w:rtl w:val="off"/>
          <w:lang w:val="en-US"/>
        </w:rPr>
        <w:t xml:space="preserve"> The DSL is responsible for overseeing the safeguarding policy, ensuring staff are trained, and acting as the point of contact for any concerns or disclosures. </w:t>
      </w:r>
    </w:p>
    <w:p w14:paraId="00000018">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b/>
          <w:color w:val="000000"/>
          <w:sz w:val="22"/>
          <w:szCs w:val="22"/>
          <w:rtl w:val="off"/>
          <w:lang w:val="en-US"/>
        </w:rPr>
        <w:t>All Staff and Volunteers:</w:t>
      </w:r>
      <w:r>
        <w:rPr>
          <w:rFonts w:ascii="Arial" w:cs="Arial" w:hAnsi="Arial"/>
          <w:color w:val="000000"/>
          <w:sz w:val="22"/>
          <w:szCs w:val="22"/>
          <w:rtl w:val="off"/>
          <w:lang w:val="en-US"/>
        </w:rPr>
        <w:t xml:space="preserve"> All individuals working with The Willington Players and Junior Willington Players must undergo safeguarding training, adhere to the policy, and report any concerns regarding the welfare of children and young people. </w:t>
      </w:r>
    </w:p>
    <w:p w14:paraId="00000019">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b/>
          <w:color w:val="000000"/>
          <w:sz w:val="22"/>
          <w:szCs w:val="22"/>
          <w:rtl w:val="off"/>
          <w:lang w:val="en-US"/>
        </w:rPr>
        <w:t>Parental and Guardian Involvement:</w:t>
      </w:r>
      <w:r>
        <w:rPr>
          <w:rFonts w:ascii="Arial" w:cs="Arial" w:hAnsi="Arial"/>
          <w:color w:val="000000"/>
          <w:sz w:val="22"/>
          <w:szCs w:val="22"/>
          <w:rtl w:val="off"/>
          <w:lang w:val="en-US"/>
        </w:rPr>
        <w:t xml:space="preserve"> Parents and guardians will be kept informed of the activities and events involving their children. Written consent must be obtained for participation in performances and other activities. </w:t>
      </w:r>
    </w:p>
    <w:p w14:paraId="0000001A">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b/>
          <w:color w:val="000000"/>
          <w:sz w:val="22"/>
          <w:szCs w:val="22"/>
          <w:rtl w:val="off"/>
          <w:lang w:val="en-US"/>
        </w:rPr>
        <w:t>6. Recruitment and Training</w:t>
      </w:r>
    </w:p>
    <w:p w14:paraId="0000001B">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color w:val="000000"/>
          <w:sz w:val="22"/>
          <w:szCs w:val="22"/>
          <w:rtl w:val="off"/>
          <w:lang w:val="en-US"/>
        </w:rPr>
        <w:t xml:space="preserve">All staff and volunteers, including those working with the Junior Willington Players, will undergo enhanced DBS checks to ensure they are suitable to work with children. </w:t>
      </w:r>
    </w:p>
    <w:p w14:paraId="0000001C">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color w:val="000000"/>
          <w:sz w:val="22"/>
          <w:szCs w:val="22"/>
          <w:rtl w:val="off"/>
          <w:lang w:val="en-US"/>
        </w:rPr>
        <w:t xml:space="preserve">All new staff and volunteers will receive safeguarding training as part of their induction process. Ongoing safeguarding training will be provided to ensure everyone is aware of the latest best practices and procedures. </w:t>
      </w:r>
    </w:p>
    <w:p w14:paraId="0000001D">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b/>
          <w:color w:val="000000"/>
          <w:sz w:val="22"/>
          <w:szCs w:val="22"/>
          <w:rtl w:val="off"/>
          <w:lang w:val="en-US"/>
        </w:rPr>
        <w:t>7. Reporting and Responding to Concerns</w:t>
      </w:r>
    </w:p>
    <w:p w14:paraId="0000001E">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color w:val="000000"/>
          <w:sz w:val="22"/>
          <w:szCs w:val="22"/>
          <w:rtl w:val="off"/>
          <w:lang w:val="en-US"/>
        </w:rPr>
        <w:t>If any member of The Willington Players or Junior Willington Players has concerns about a child or young person’s well-being, they must:</w:t>
      </w:r>
    </w:p>
    <w:p w14:paraId="0000001F">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color w:val="000000"/>
          <w:sz w:val="22"/>
          <w:szCs w:val="22"/>
          <w:rtl w:val="off"/>
          <w:lang w:val="en-US"/>
        </w:rPr>
        <w:t xml:space="preserve">Report the concern immediately to the Designated Safeguarding Lead. </w:t>
      </w:r>
    </w:p>
    <w:p w14:paraId="00000020">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color w:val="000000"/>
          <w:sz w:val="22"/>
          <w:szCs w:val="22"/>
          <w:rtl w:val="off"/>
          <w:lang w:val="en-US"/>
        </w:rPr>
        <w:t xml:space="preserve">If the concern involves the DSL, it must be reported to another designated safeguarding officer or the Chairperson. </w:t>
      </w:r>
    </w:p>
    <w:p w14:paraId="00000021">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color w:val="000000"/>
          <w:sz w:val="22"/>
          <w:szCs w:val="22"/>
          <w:rtl w:val="off"/>
          <w:lang w:val="en-US"/>
        </w:rPr>
        <w:t xml:space="preserve">If the concern is urgent, or if there are immediate safety concerns, the relevant authorities, such as local children’s services or the police, should be contacted. </w:t>
      </w:r>
    </w:p>
    <w:p w14:paraId="00000022">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b/>
          <w:color w:val="000000"/>
          <w:sz w:val="22"/>
          <w:szCs w:val="22"/>
          <w:rtl w:val="off"/>
          <w:lang w:val="en-US"/>
        </w:rPr>
        <w:t>8. Code of Conduct</w:t>
      </w:r>
    </w:p>
    <w:p w14:paraId="00000023">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b/>
          <w:color w:val="000000"/>
          <w:sz w:val="22"/>
          <w:szCs w:val="22"/>
          <w:rtl w:val="off"/>
          <w:lang w:val="en-US"/>
        </w:rPr>
        <w:t>Respect:</w:t>
      </w:r>
      <w:r>
        <w:rPr>
          <w:rFonts w:ascii="Arial" w:cs="Arial" w:hAnsi="Arial"/>
          <w:color w:val="000000"/>
          <w:sz w:val="22"/>
          <w:szCs w:val="22"/>
          <w:rtl w:val="off"/>
          <w:lang w:val="en-US"/>
        </w:rPr>
        <w:t xml:space="preserve"> All members should treat each other with dignity and respect, regardless of age, gender, ability, or background. </w:t>
      </w:r>
    </w:p>
    <w:p w14:paraId="00000024">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b/>
          <w:color w:val="000000"/>
          <w:sz w:val="22"/>
          <w:szCs w:val="22"/>
          <w:rtl w:val="off"/>
          <w:lang w:val="en-US"/>
        </w:rPr>
        <w:t>Physical Contact:</w:t>
      </w:r>
      <w:r>
        <w:rPr>
          <w:rFonts w:ascii="Arial" w:cs="Arial" w:hAnsi="Arial"/>
          <w:color w:val="000000"/>
          <w:sz w:val="22"/>
          <w:szCs w:val="22"/>
          <w:rtl w:val="off"/>
          <w:lang w:val="en-US"/>
        </w:rPr>
        <w:t xml:space="preserve"> Any physical contact should be appropriate, necessary, and always with the child’s consent. Inappropriate behaviour such as rough play or excessive familiarity will not be tolerated. </w:t>
      </w:r>
    </w:p>
    <w:p w14:paraId="00000025">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Arial" w:cs="Arial" w:hAnsi="Arial"/>
          <w:color w:val="000000"/>
          <w:sz w:val="22"/>
          <w:szCs w:val="22"/>
          <w:lang w:val="en-US"/>
        </w:rPr>
      </w:pPr>
      <w:r>
        <w:rPr>
          <w:rFonts w:ascii="Arial" w:cs="Arial" w:hAnsi="Arial"/>
          <w:b/>
          <w:color w:val="000000"/>
          <w:sz w:val="22"/>
          <w:szCs w:val="22"/>
          <w:rtl w:val="off"/>
          <w:lang w:val="en-US"/>
        </w:rPr>
        <w:t>Photography and Social Media:</w:t>
      </w:r>
      <w:r>
        <w:rPr>
          <w:rFonts w:ascii="Arial" w:cs="Arial" w:hAnsi="Arial"/>
          <w:color w:val="000000"/>
          <w:sz w:val="22"/>
          <w:szCs w:val="22"/>
          <w:rtl w:val="off"/>
          <w:lang w:val="en-US"/>
        </w:rPr>
        <w:t xml:space="preserve"> Permission from a child’s parent or guardian must be obtained before any photos are taken. Children should not be tagged in photos or videos without parental consent. </w:t>
      </w:r>
    </w:p>
    <w:p w14:paraId="00000026">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b/>
          <w:color w:val="000000"/>
          <w:sz w:val="22"/>
          <w:szCs w:val="22"/>
          <w:rtl w:val="off"/>
          <w:lang w:val="en-US"/>
        </w:rPr>
        <w:t>9. Whistleblowing</w:t>
      </w:r>
    </w:p>
    <w:p w14:paraId="00000027">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color w:val="000000"/>
          <w:sz w:val="22"/>
          <w:szCs w:val="22"/>
          <w:rtl w:val="off"/>
          <w:lang w:val="en-US"/>
        </w:rPr>
        <w:t>If a staff member, volunteer, or any participant believes that safeguarding procedures are not being followed or that there is a risk to a child’s safety, they are encouraged to report their concerns. This may be done in confidence to the Designated Safeguarding Lead or through any of the other appropriate channels.</w:t>
      </w:r>
    </w:p>
    <w:p w14:paraId="00000028">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b/>
          <w:color w:val="000000"/>
          <w:sz w:val="22"/>
          <w:szCs w:val="22"/>
          <w:rtl w:val="off"/>
          <w:lang w:val="en-US"/>
        </w:rPr>
        <w:t>10. Complaints Procedure</w:t>
      </w:r>
    </w:p>
    <w:p w14:paraId="00000029">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color w:val="000000"/>
          <w:sz w:val="22"/>
          <w:szCs w:val="22"/>
          <w:rtl w:val="off"/>
          <w:lang w:val="en-US"/>
        </w:rPr>
        <w:t>If anyone wishes to raise a complaint regarding safeguarding, this can be done through the appropriate grievance or complaints procedures. All complaints will be taken seriously and acted upon promptly.</w:t>
      </w:r>
    </w:p>
    <w:p w14:paraId="0000002A">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b/>
          <w:color w:val="000000"/>
          <w:sz w:val="22"/>
          <w:szCs w:val="22"/>
          <w:rtl w:val="off"/>
          <w:lang w:val="en-US"/>
        </w:rPr>
        <w:t>11. Monitoring and Review</w:t>
      </w:r>
    </w:p>
    <w:p w14:paraId="0000002B">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color w:val="000000"/>
          <w:sz w:val="22"/>
          <w:szCs w:val="22"/>
          <w:rtl w:val="off"/>
          <w:lang w:val="en-US"/>
        </w:rPr>
        <w:t>The Willington Players will regularly review and update the safeguarding policy to ensure its effectiveness. This will include monitoring the training of staff and volunteers, and ensuring that appropriate measures are in place to protect children and young people.</w:t>
      </w:r>
    </w:p>
    <w:p w14:paraId="0000002C">
      <w:pPr>
        <w:rPr>
          <w:rFonts w:ascii="Arial" w:cs="Arial" w:hAnsi="Arial"/>
          <w:sz w:val="24"/>
          <w:szCs w:val="24"/>
        </w:rPr>
      </w:pPr>
    </w:p>
    <w:p w14:paraId="0000002D">
      <w:pPr>
        <w:pStyle w:val="FirstParagraph"/>
        <w:rPr>
          <w:rFonts w:ascii="Arial" w:cs="Arial" w:hAnsi="Arial"/>
          <w:color w:val="000000" w:themeColor="dk1"/>
        </w:rPr>
      </w:pPr>
      <w:r>
        <w:rPr>
          <w:rFonts w:ascii="Arial" w:cs="Arial" w:hAnsi="Arial"/>
          <w:color w:val="000000" w:themeColor="dk1"/>
        </w:rPr>
        <w:t xml:space="preserve">This </w:t>
      </w:r>
      <w:r>
        <w:rPr>
          <w:rFonts w:ascii="Arial" w:cs="Arial" w:hAnsi="Arial"/>
          <w:color w:val="000000" w:themeColor="dk1"/>
          <w:lang w:val="en-GB"/>
        </w:rPr>
        <w:t xml:space="preserve">policy </w:t>
      </w:r>
      <w:r>
        <w:rPr>
          <w:rFonts w:ascii="Arial" w:cs="Arial" w:hAnsi="Arial"/>
          <w:color w:val="000000" w:themeColor="dk1"/>
        </w:rPr>
        <w:t>was adopted on:</w:t>
      </w:r>
    </w:p>
    <w:p w14:paraId="0000002E">
      <w:pPr>
        <w:pStyle w:val="BodyText"/>
        <w:rPr>
          <w:rFonts w:ascii="Arial" w:cs="Arial" w:hAnsi="Arial"/>
          <w:color w:val="000000" w:themeColor="dk1"/>
        </w:rPr>
      </w:pPr>
      <w:r>
        <w:rPr>
          <w:rFonts w:ascii="Arial" w:cs="Arial" w:hAnsi="Arial"/>
          <w:color w:val="000000" w:themeColor="dk1"/>
        </w:rPr>
        <w:t>Date: _______________________</w:t>
      </w:r>
    </w:p>
    <w:p w14:paraId="0000002F">
      <w:pPr>
        <w:pStyle w:val="BodyText"/>
        <w:rPr>
          <w:rFonts w:ascii="Arial" w:cs="Arial" w:hAnsi="Arial"/>
          <w:color w:val="000000" w:themeColor="dk1"/>
        </w:rPr>
      </w:pPr>
      <w:r>
        <w:rPr>
          <w:rFonts w:ascii="Arial" w:cs="Arial" w:hAnsi="Arial"/>
          <w:color w:val="000000" w:themeColor="dk1"/>
        </w:rPr>
        <w:t>Signed (Chairperson): _______________________</w:t>
      </w:r>
    </w:p>
    <w:p w14:paraId="00000030">
      <w:pPr>
        <w:pStyle w:val="BodyText"/>
        <w:rPr>
          <w:rFonts w:ascii="Arial" w:cs="Arial" w:hAnsi="Arial"/>
          <w:color w:val="000000" w:themeColor="dk1"/>
        </w:rPr>
      </w:pPr>
      <w:r>
        <w:rPr>
          <w:rFonts w:ascii="Arial" w:cs="Arial" w:hAnsi="Arial"/>
          <w:color w:val="000000" w:themeColor="dk1"/>
        </w:rPr>
        <w:t>Signed (Secretary): _______________________</w:t>
      </w:r>
    </w:p>
    <w:p w14:paraId="00000031">
      <w:pPr>
        <w:rPr>
          <w:rFonts w:ascii="Arial" w:cs="Arial" w:hAnsi="Arial"/>
          <w:sz w:val="24"/>
          <w:szCs w:val="24"/>
        </w:rPr>
      </w:pPr>
    </w:p>
    <w:sectPr>
      <w:footnotePr/>
      <w:type w:val="nextPage"/>
      <w:pgSz w:w="11906" w:h="16838" w:orient="portrait"/>
      <w:pgMar w:top="720" w:right="720" w:bottom="720" w:left="72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Segoe UI">
    <w:charset w:val="00"/>
  </w:font>
  <w:font w:name="Arial Black"/>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num w:numId="1">
    <w:abstractNumId w:val="0"/>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GB"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n"/>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character" w:styleId="FollowedHyperlink">
    <w:name w:val="FollowedHyperlink"/>
    <w:basedOn w:val="DefaultParagraphFont"/>
    <w:uiPriority w:val="99"/>
    <w:semiHidden w:val="on"/>
    <w:unhideWhenUsed w:val="on"/>
    <w:rPr>
      <w:color w:val="954f72" w:themeColor="followed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 w:type="paragraph" w:customStyle="1" w:styleId="FirstParagraph">
    <w:name w:val="First Paragraph"/>
    <w:basedOn w:val="BodyText"/>
    <w:next w:val="BodyText"/>
    <w:uiPriority w:val="99"/>
    <w:qFormat w:val="on"/>
  </w:style>
  <w:style w:type="paragraph" w:styleId="BodyText">
    <w:name w:val="Body Text"/>
    <w:basedOn w:val="Normal"/>
    <w:link w:val="BodyTextChar"/>
    <w:uiPriority w:val="99"/>
    <w:qFormat w:val="on"/>
    <w:pPr>
      <w:spacing w:before="180" w:after="180"/>
    </w:pPr>
  </w:style>
  <w:style w:type="character" w:customStyle="1" w:styleId="BodyTextChar">
    <w:name w:val="Body Text Char"/>
    <w:basedOn w:val="DefaultParagraphFont"/>
    <w:link w:val="BodyText"/>
    <w:uiPriority w:val="99"/>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settings" Target="settings.xml"/></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Default">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 Wilson</dc:creator>
  <cp:lastModifiedBy>Ange Wilson</cp:lastModifiedBy>
</cp:coreProperties>
</file>